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35" w:rsidRPr="00C81235" w:rsidRDefault="00C81235" w:rsidP="00C81235">
      <w:pPr>
        <w:spacing w:before="72" w:after="120" w:line="240" w:lineRule="auto"/>
        <w:jc w:val="center"/>
        <w:outlineLvl w:val="0"/>
        <w:rPr>
          <w:rFonts w:ascii="Times New Roman" w:eastAsia="Times New Roman" w:hAnsi="Times New Roman" w:cs="Times New Roman"/>
          <w:b/>
          <w:bCs/>
          <w:color w:val="000000" w:themeColor="text1"/>
          <w:kern w:val="36"/>
          <w:sz w:val="32"/>
          <w:szCs w:val="32"/>
        </w:rPr>
      </w:pPr>
      <w:r w:rsidRPr="00C81235">
        <w:rPr>
          <w:rFonts w:ascii="Times New Roman" w:eastAsia="Times New Roman" w:hAnsi="Times New Roman" w:cs="Times New Roman"/>
          <w:b/>
          <w:bCs/>
          <w:color w:val="000000"/>
          <w:kern w:val="36"/>
          <w:sz w:val="32"/>
          <w:szCs w:val="32"/>
        </w:rPr>
        <w:t>Итог</w:t>
      </w:r>
      <w:r w:rsidRPr="00C81235">
        <w:rPr>
          <w:rFonts w:ascii="Times New Roman" w:eastAsia="Times New Roman" w:hAnsi="Times New Roman" w:cs="Times New Roman"/>
          <w:b/>
          <w:bCs/>
          <w:color w:val="000000" w:themeColor="text1"/>
          <w:kern w:val="36"/>
          <w:sz w:val="32"/>
          <w:szCs w:val="32"/>
        </w:rPr>
        <w:t>овое сочинение: вопросы и ответы</w:t>
      </w: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r w:rsidRPr="00C81235">
        <w:rPr>
          <w:rFonts w:ascii="Times New Roman" w:eastAsia="Times New Roman" w:hAnsi="Times New Roman" w:cs="Times New Roman"/>
          <w:b/>
          <w:bCs/>
          <w:color w:val="000000" w:themeColor="text1"/>
          <w:sz w:val="28"/>
          <w:szCs w:val="28"/>
        </w:rPr>
        <w:t>Какие задачи решает итоговое сочинение?</w:t>
      </w: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Итоговое сочинение является допуском к государственной итоговой аттестации (оценка школой: «зачет-незачет») и  форма индивидуальных достижений абитуриентов (оценка вуза: до 10 баллов к ЕГЭ, если вуз такое решение принял). Учет результатов сочинений в вузах осуществляется по желанию абитуриента и решению вуза.</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b/>
          <w:bCs/>
          <w:color w:val="000000" w:themeColor="text1"/>
          <w:sz w:val="28"/>
          <w:szCs w:val="28"/>
        </w:rPr>
        <w:t>Каким дополнительным материалом можно пользоваться при написании итогового сочинения?  Может ли участник пользоваться литературным источником (текстом произведения)?</w:t>
      </w:r>
      <w:r w:rsidRPr="00C81235">
        <w:rPr>
          <w:rFonts w:ascii="Times New Roman" w:eastAsia="Times New Roman" w:hAnsi="Times New Roman" w:cs="Times New Roman"/>
          <w:color w:val="000000" w:themeColor="text1"/>
          <w:sz w:val="28"/>
          <w:szCs w:val="28"/>
        </w:rPr>
        <w:t>  </w:t>
      </w: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При проведении сочинения участникам сочинения запрещается пользоваться текстами литературного материала (художественные произведения, дневники, мемуары, публицистика).</w:t>
      </w:r>
      <w:r>
        <w:rPr>
          <w:rFonts w:ascii="Times New Roman" w:eastAsia="Times New Roman" w:hAnsi="Times New Roman" w:cs="Times New Roman"/>
          <w:color w:val="000000" w:themeColor="text1"/>
          <w:sz w:val="28"/>
          <w:szCs w:val="28"/>
        </w:rPr>
        <w:t xml:space="preserve"> </w:t>
      </w:r>
      <w:r w:rsidRPr="00C81235">
        <w:rPr>
          <w:rFonts w:ascii="Times New Roman" w:eastAsia="Times New Roman" w:hAnsi="Times New Roman" w:cs="Times New Roman"/>
          <w:color w:val="000000" w:themeColor="text1"/>
          <w:sz w:val="28"/>
          <w:szCs w:val="28"/>
        </w:rPr>
        <w:t>Разрешается пользоваться орфографическими словарями, выданными Комиссией по проведению итогового сочинения.</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r w:rsidRPr="00C81235">
        <w:rPr>
          <w:rFonts w:ascii="Times New Roman" w:eastAsia="Times New Roman" w:hAnsi="Times New Roman" w:cs="Times New Roman"/>
          <w:b/>
          <w:bCs/>
          <w:color w:val="000000" w:themeColor="text1"/>
          <w:sz w:val="28"/>
          <w:szCs w:val="28"/>
        </w:rPr>
        <w:t>На скольких произведениях нужно  строить рассуждение?</w:t>
      </w: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В Критерии 2 указано: «достаточно опоры на  один текст». Вместе с тем участнику следует учитывать и требования вуза, в который он планирует подавать свое сочинение как индивидуальное достижение. Вуз вправе разрабатывать свои критерии оценивания сочинений, в которых указывается на необходимость привести два и более литературных аргумента. Вуз также может требовать привлечения не только литературного аргумента, но и опоры на произведения других видов искусства или на исторические факты. Таким образом, в сочинении, кроме литературного аргумента, могут быть аргументы, связанные с театром, кино, живописью, историческими документами (при проверке такие аргументы рассматриваются как органичная часть сочинения).</w:t>
      </w: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r w:rsidRPr="00C81235">
        <w:rPr>
          <w:rFonts w:ascii="Times New Roman" w:eastAsia="Times New Roman" w:hAnsi="Times New Roman" w:cs="Times New Roman"/>
          <w:b/>
          <w:bCs/>
          <w:color w:val="000000" w:themeColor="text1"/>
          <w:sz w:val="28"/>
          <w:szCs w:val="28"/>
        </w:rPr>
        <w:t>Что собой представляют темы итогового сочинения?</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 xml:space="preserve">Темы создаются в рамках открытых направлений, которые разрабатывает Совет по вопросам проведения итогового сочинения в выпускных классах.  При составлении тем сочинений не используются узко заданные </w:t>
      </w:r>
      <w:proofErr w:type="gramStart"/>
      <w:r w:rsidRPr="00C81235">
        <w:rPr>
          <w:rFonts w:ascii="Times New Roman" w:eastAsia="Times New Roman" w:hAnsi="Times New Roman" w:cs="Times New Roman"/>
          <w:color w:val="000000" w:themeColor="text1"/>
          <w:sz w:val="28"/>
          <w:szCs w:val="28"/>
        </w:rPr>
        <w:t>формулировки</w:t>
      </w:r>
      <w:proofErr w:type="gramEnd"/>
      <w:r w:rsidRPr="00C81235">
        <w:rPr>
          <w:rFonts w:ascii="Times New Roman" w:eastAsia="Times New Roman" w:hAnsi="Times New Roman" w:cs="Times New Roman"/>
          <w:color w:val="000000" w:themeColor="text1"/>
          <w:sz w:val="28"/>
          <w:szCs w:val="28"/>
        </w:rPr>
        <w:t xml:space="preserve"> и осуществляется опора на следующие принципы: посильность, ясность и точность постановки проблемы. Образцы тем под открытые направления не предлагаются.</w:t>
      </w: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r w:rsidRPr="00C81235">
        <w:rPr>
          <w:rFonts w:ascii="Times New Roman" w:eastAsia="Times New Roman" w:hAnsi="Times New Roman" w:cs="Times New Roman"/>
          <w:b/>
          <w:bCs/>
          <w:color w:val="000000" w:themeColor="text1"/>
          <w:sz w:val="28"/>
          <w:szCs w:val="28"/>
        </w:rPr>
        <w:t>Итоговое сочинение - это сочинение по литературе?</w:t>
      </w: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 xml:space="preserve">Итоговое сочинение носит </w:t>
      </w:r>
      <w:proofErr w:type="spellStart"/>
      <w:r w:rsidRPr="00C81235">
        <w:rPr>
          <w:rFonts w:ascii="Times New Roman" w:eastAsia="Times New Roman" w:hAnsi="Times New Roman" w:cs="Times New Roman"/>
          <w:color w:val="000000" w:themeColor="text1"/>
          <w:sz w:val="28"/>
          <w:szCs w:val="28"/>
        </w:rPr>
        <w:t>надпредметный</w:t>
      </w:r>
      <w:proofErr w:type="spellEnd"/>
      <w:r w:rsidRPr="00C81235">
        <w:rPr>
          <w:rFonts w:ascii="Times New Roman" w:eastAsia="Times New Roman" w:hAnsi="Times New Roman" w:cs="Times New Roman"/>
          <w:color w:val="000000" w:themeColor="text1"/>
          <w:sz w:val="28"/>
          <w:szCs w:val="28"/>
        </w:rPr>
        <w:t xml:space="preserve"> характер. При этом оно </w:t>
      </w:r>
      <w:proofErr w:type="spellStart"/>
      <w:r w:rsidRPr="00C81235">
        <w:rPr>
          <w:rFonts w:ascii="Times New Roman" w:eastAsia="Times New Roman" w:hAnsi="Times New Roman" w:cs="Times New Roman"/>
          <w:color w:val="000000" w:themeColor="text1"/>
          <w:sz w:val="28"/>
          <w:szCs w:val="28"/>
        </w:rPr>
        <w:t>литературоцентрично</w:t>
      </w:r>
      <w:proofErr w:type="spellEnd"/>
      <w:r w:rsidRPr="00C81235">
        <w:rPr>
          <w:rFonts w:ascii="Times New Roman" w:eastAsia="Times New Roman" w:hAnsi="Times New Roman" w:cs="Times New Roman"/>
          <w:color w:val="000000" w:themeColor="text1"/>
          <w:sz w:val="28"/>
          <w:szCs w:val="28"/>
        </w:rPr>
        <w:t xml:space="preserve">. По Критерию 2 «Аргументация. Привлечение литературного </w:t>
      </w:r>
      <w:r w:rsidRPr="00C81235">
        <w:rPr>
          <w:rFonts w:ascii="Times New Roman" w:eastAsia="Times New Roman" w:hAnsi="Times New Roman" w:cs="Times New Roman"/>
          <w:color w:val="000000" w:themeColor="text1"/>
          <w:sz w:val="28"/>
          <w:szCs w:val="28"/>
        </w:rPr>
        <w:lastRenderedPageBreak/>
        <w:t>материала» проверяется «умение строить рассуждение, доказывать свою позицию, формулируя аргументы и подкрепляя их примерами из литературного материала». Не предполагается проведение литературоведческого анализа произведений, но участник вправе применить и такой анализ при раскрытии темы.</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r w:rsidRPr="00C81235">
        <w:rPr>
          <w:rFonts w:ascii="Times New Roman" w:eastAsia="Times New Roman" w:hAnsi="Times New Roman" w:cs="Times New Roman"/>
          <w:b/>
          <w:bCs/>
          <w:color w:val="000000" w:themeColor="text1"/>
          <w:sz w:val="28"/>
          <w:szCs w:val="28"/>
        </w:rPr>
        <w:t>Что подразумевается под литературным материалом, на который нужно опираться при написании итогового сочинения?</w:t>
      </w: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В Критерии 2 сказано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b/>
          <w:bCs/>
          <w:color w:val="000000" w:themeColor="text1"/>
          <w:sz w:val="28"/>
          <w:szCs w:val="28"/>
        </w:rPr>
        <w:t>В каких случаях за сочинение может быть выставлен "зачет"?</w:t>
      </w:r>
      <w:r w:rsidRPr="00C81235">
        <w:rPr>
          <w:rFonts w:ascii="Times New Roman" w:eastAsia="Times New Roman" w:hAnsi="Times New Roman" w:cs="Times New Roman"/>
          <w:color w:val="000000" w:themeColor="text1"/>
          <w:sz w:val="28"/>
          <w:szCs w:val="28"/>
        </w:rPr>
        <w:br/>
        <w:t>Для получения «зачета» необходимо иметь положительный результат по трем критериям (по критериям №1 (соответствие теме) и №2 (аргументация, привлечение литературного материала) – в обязательном порядке); выдержать объем (сочинение не менее 250 слов) и написать работу самостоятельно.</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r w:rsidRPr="00C81235">
        <w:rPr>
          <w:rFonts w:ascii="Times New Roman" w:eastAsia="Times New Roman" w:hAnsi="Times New Roman" w:cs="Times New Roman"/>
          <w:b/>
          <w:bCs/>
          <w:color w:val="000000" w:themeColor="text1"/>
          <w:sz w:val="28"/>
          <w:szCs w:val="28"/>
        </w:rPr>
        <w:t>В каком жанре нужно писать итоговое сочинение?</w:t>
      </w:r>
    </w:p>
    <w:p w:rsid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Выпускник должен написать сочинение-рассуждение, что отражено в критериях оценивания.</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b/>
          <w:bCs/>
          <w:color w:val="000000" w:themeColor="text1"/>
          <w:sz w:val="28"/>
          <w:szCs w:val="28"/>
        </w:rPr>
        <w:t>Будут ли формулировки тем итогового сочинения только в виде вопроса?</w:t>
      </w:r>
      <w:r w:rsidRPr="00C81235">
        <w:rPr>
          <w:rFonts w:ascii="Times New Roman" w:eastAsia="Times New Roman" w:hAnsi="Times New Roman" w:cs="Times New Roman"/>
          <w:color w:val="000000" w:themeColor="text1"/>
          <w:sz w:val="28"/>
          <w:szCs w:val="28"/>
        </w:rPr>
        <w:br/>
        <w:t>Формулировки тем будут разные: констатирующие, цитатные, в форме вопроса.</w:t>
      </w:r>
    </w:p>
    <w:p w:rsidR="00B1470F"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 </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u w:val="single"/>
        </w:rPr>
      </w:pPr>
      <w:r w:rsidRPr="00B1470F">
        <w:rPr>
          <w:rFonts w:ascii="Times New Roman" w:eastAsia="Times New Roman" w:hAnsi="Times New Roman" w:cs="Times New Roman"/>
          <w:b/>
          <w:bCs/>
          <w:color w:val="000000" w:themeColor="text1"/>
          <w:sz w:val="28"/>
          <w:szCs w:val="28"/>
          <w:u w:val="single"/>
        </w:rPr>
        <w:t>ДЛЯ ЭКСПЕРТОВ, ПРОВЕРЯЮЩИХ РАБОТЫ:</w:t>
      </w: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r w:rsidRPr="00C81235">
        <w:rPr>
          <w:rFonts w:ascii="Times New Roman" w:eastAsia="Times New Roman" w:hAnsi="Times New Roman" w:cs="Times New Roman"/>
          <w:b/>
          <w:bCs/>
          <w:color w:val="000000" w:themeColor="text1"/>
          <w:sz w:val="28"/>
          <w:szCs w:val="28"/>
        </w:rPr>
        <w:t>Каковы особенности заполнения  нижней части бланка регистрации?</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 xml:space="preserve">Нижняя часть бланка заполняется </w:t>
      </w:r>
      <w:proofErr w:type="gramStart"/>
      <w:r w:rsidRPr="00C81235">
        <w:rPr>
          <w:rFonts w:ascii="Times New Roman" w:eastAsia="Times New Roman" w:hAnsi="Times New Roman" w:cs="Times New Roman"/>
          <w:color w:val="000000" w:themeColor="text1"/>
          <w:sz w:val="28"/>
          <w:szCs w:val="28"/>
        </w:rPr>
        <w:t>ответственным</w:t>
      </w:r>
      <w:proofErr w:type="gramEnd"/>
      <w:r w:rsidRPr="00C81235">
        <w:rPr>
          <w:rFonts w:ascii="Times New Roman" w:eastAsia="Times New Roman" w:hAnsi="Times New Roman" w:cs="Times New Roman"/>
          <w:color w:val="000000" w:themeColor="text1"/>
          <w:sz w:val="28"/>
          <w:szCs w:val="28"/>
        </w:rPr>
        <w:t xml:space="preserve"> за перенос результатов проверки работы.</w:t>
      </w:r>
    </w:p>
    <w:p w:rsidR="00C81235" w:rsidRPr="00C81235" w:rsidRDefault="00C81235" w:rsidP="00C81235">
      <w:pPr>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Если в сочинении менее 250 слов, то сочинение не проверяется по критериям №1-№5. В клетки по всем критериям оценивания выставляется «незачет».</w:t>
      </w:r>
    </w:p>
    <w:p w:rsidR="00C81235" w:rsidRPr="00C81235" w:rsidRDefault="00C81235" w:rsidP="00C81235">
      <w:pPr>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Если за сочинение по критерию №1 выставлен «незачет», то сочинение по критериям №2-№5 не проверяется. В клетки по требованию 2 и всем критериям оценивания выставляется «незачет».</w:t>
      </w:r>
    </w:p>
    <w:p w:rsidR="00C81235" w:rsidRPr="00C81235" w:rsidRDefault="00C81235" w:rsidP="00C81235">
      <w:pPr>
        <w:numPr>
          <w:ilvl w:val="0"/>
          <w:numId w:val="1"/>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Если за сочинение по критерию по критерию №1 выставлен «зачет», а по критерию №2 выставлен «незачет», то сочинение по критериям №3-№5 не проверяется. В клетки по критериям оценивания №3-№5 выставляется «незачет».</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lastRenderedPageBreak/>
        <w:t>Во всех остальных случаях сочинение проверяется по всем пяти критериям и оценивается в системе «зачет</w:t>
      </w:r>
      <w:proofErr w:type="gramStart"/>
      <w:r w:rsidRPr="00C81235">
        <w:rPr>
          <w:rFonts w:ascii="Times New Roman" w:eastAsia="Times New Roman" w:hAnsi="Times New Roman" w:cs="Times New Roman"/>
          <w:color w:val="000000" w:themeColor="text1"/>
          <w:sz w:val="28"/>
          <w:szCs w:val="28"/>
        </w:rPr>
        <w:t>»-</w:t>
      </w:r>
      <w:proofErr w:type="gramEnd"/>
      <w:r w:rsidRPr="00C81235">
        <w:rPr>
          <w:rFonts w:ascii="Times New Roman" w:eastAsia="Times New Roman" w:hAnsi="Times New Roman" w:cs="Times New Roman"/>
          <w:color w:val="000000" w:themeColor="text1"/>
          <w:sz w:val="28"/>
          <w:szCs w:val="28"/>
        </w:rPr>
        <w:t>«незачет» (например, недопустимо не проверять работу по критериям К4 и К5, если выпускник получил зачет на основании зачетов по критериям К1, К2, К3).</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b/>
          <w:bCs/>
          <w:color w:val="000000" w:themeColor="text1"/>
          <w:sz w:val="28"/>
          <w:szCs w:val="28"/>
        </w:rPr>
        <w:t>Можно ли не проверять сочинения выпускников прошлых лет?</w:t>
      </w:r>
      <w:r w:rsidRPr="00C81235">
        <w:rPr>
          <w:rFonts w:ascii="Times New Roman" w:eastAsia="Times New Roman" w:hAnsi="Times New Roman" w:cs="Times New Roman"/>
          <w:color w:val="000000" w:themeColor="text1"/>
          <w:sz w:val="28"/>
          <w:szCs w:val="28"/>
        </w:rPr>
        <w:br/>
        <w:t>Проверяются все работы, в том числе выпускников прошлых лет.</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b/>
          <w:bCs/>
          <w:color w:val="000000" w:themeColor="text1"/>
          <w:sz w:val="28"/>
          <w:szCs w:val="28"/>
        </w:rPr>
        <w:t>Какова специфическая роль учителя-словесника при проведении итогового сочинения?</w:t>
      </w:r>
      <w:r w:rsidRPr="00C81235">
        <w:rPr>
          <w:rFonts w:ascii="Times New Roman" w:eastAsia="Times New Roman" w:hAnsi="Times New Roman" w:cs="Times New Roman"/>
          <w:color w:val="000000" w:themeColor="text1"/>
          <w:sz w:val="28"/>
          <w:szCs w:val="28"/>
        </w:rPr>
        <w:br/>
        <w:t>Специфических задач для учителя-словесника нет. У педагога, находящегося в аудитории во время проведения сочинения, есть организационные  задачи: помощь в оформлении бланков регистрации, поддержание дисциплины, предотвращение случаев списывания, отслеживание временного регламента.</w:t>
      </w:r>
    </w:p>
    <w:p w:rsidR="00C81235" w:rsidRDefault="00C81235" w:rsidP="00C81235">
      <w:pPr>
        <w:spacing w:after="288" w:line="240" w:lineRule="auto"/>
        <w:jc w:val="both"/>
        <w:rPr>
          <w:rFonts w:ascii="Times New Roman" w:eastAsia="Times New Roman" w:hAnsi="Times New Roman" w:cs="Times New Roman"/>
          <w:b/>
          <w:bCs/>
          <w:color w:val="000000" w:themeColor="text1"/>
          <w:sz w:val="28"/>
          <w:szCs w:val="28"/>
        </w:rPr>
      </w:pPr>
      <w:r w:rsidRPr="00C81235">
        <w:rPr>
          <w:rFonts w:ascii="Times New Roman" w:eastAsia="Times New Roman" w:hAnsi="Times New Roman" w:cs="Times New Roman"/>
          <w:b/>
          <w:bCs/>
          <w:color w:val="000000" w:themeColor="text1"/>
          <w:sz w:val="28"/>
          <w:szCs w:val="28"/>
        </w:rPr>
        <w:t>Может ли учитель комментировать темы сочинения перед его проведением (ранее традиция такая была)?</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 xml:space="preserve">Учительский комментарий к темам не предполагается. В методических рекомендациях для образовательных организаций сказано, что член комиссии должен: "ознакомить участников итогового сочинения (изложения) с темами сочинений". </w:t>
      </w:r>
      <w:proofErr w:type="gramStart"/>
      <w:r w:rsidRPr="00C81235">
        <w:rPr>
          <w:rFonts w:ascii="Times New Roman" w:eastAsia="Times New Roman" w:hAnsi="Times New Roman" w:cs="Times New Roman"/>
          <w:color w:val="000000" w:themeColor="text1"/>
          <w:sz w:val="28"/>
          <w:szCs w:val="28"/>
        </w:rPr>
        <w:t>Это означает, что темы должны быть доведены до сведения выпускников (написаны на доске, прочитаны, например, для слепых обучающихся, розданы на парты (если есть возможность их распечатать).</w:t>
      </w:r>
      <w:proofErr w:type="gramEnd"/>
      <w:r w:rsidRPr="00C81235">
        <w:rPr>
          <w:rFonts w:ascii="Times New Roman" w:eastAsia="Times New Roman" w:hAnsi="Times New Roman" w:cs="Times New Roman"/>
          <w:color w:val="000000" w:themeColor="text1"/>
          <w:sz w:val="28"/>
          <w:szCs w:val="28"/>
        </w:rPr>
        <w:t xml:space="preserve"> Обязательно на парте каждого выпускника должна лежать инструкция для участника.</w:t>
      </w:r>
    </w:p>
    <w:p w:rsidR="00C81235" w:rsidRPr="00C81235" w:rsidRDefault="00C81235" w:rsidP="00B1470F">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b/>
          <w:bCs/>
          <w:color w:val="000000" w:themeColor="text1"/>
          <w:sz w:val="28"/>
          <w:szCs w:val="28"/>
        </w:rPr>
        <w:t>Возможна ли в сочинении опора на Библию, произведения устного народного творчества?</w:t>
      </w:r>
      <w:r w:rsidRPr="00C81235">
        <w:rPr>
          <w:rFonts w:ascii="Times New Roman" w:eastAsia="Times New Roman" w:hAnsi="Times New Roman" w:cs="Times New Roman"/>
          <w:color w:val="000000" w:themeColor="text1"/>
          <w:sz w:val="28"/>
          <w:szCs w:val="28"/>
        </w:rPr>
        <w:br/>
        <w:t>В Методических рекомендациях по подготовке к итоговому сочинению (изложению), размещенных на сайте ФГБНУ «ФИПИ», даны разъяснения по вопросу привлечения литературного материала. Данная информация содержится непосредственно в «Критериях оценивания итогового сочинения организациями, реализующими образовательные программы среднего общего образования». В Критерии №2 «Аргументация. Привлечение литературного материала» сказано: «Данный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О возможности использовать Библию напрямую не говорится в силу светского характера образования. Но Библию, безусловно, можно рассматривать как литературный источник. Если сочинение будет опираться на Библию, это не приведет к незачету по указанному параметру.</w:t>
      </w:r>
    </w:p>
    <w:p w:rsidR="00C81235" w:rsidRPr="00C81235" w:rsidRDefault="00C81235" w:rsidP="00C81235">
      <w:pPr>
        <w:spacing w:after="288" w:line="240" w:lineRule="auto"/>
        <w:jc w:val="both"/>
        <w:rPr>
          <w:rFonts w:ascii="Times New Roman" w:eastAsia="Times New Roman" w:hAnsi="Times New Roman" w:cs="Times New Roman"/>
          <w:color w:val="000000" w:themeColor="text1"/>
          <w:sz w:val="28"/>
          <w:szCs w:val="28"/>
        </w:rPr>
      </w:pPr>
      <w:r w:rsidRPr="00C81235">
        <w:rPr>
          <w:rFonts w:ascii="Times New Roman" w:eastAsia="Times New Roman" w:hAnsi="Times New Roman" w:cs="Times New Roman"/>
          <w:color w:val="000000" w:themeColor="text1"/>
          <w:sz w:val="28"/>
          <w:szCs w:val="28"/>
        </w:rPr>
        <w:t xml:space="preserve">В своих рассуждениях автор сочинения может также опираться на произведения устного народного творчества (исключаются малые жанры, например, загадки, пословицы, поговорки, </w:t>
      </w:r>
      <w:proofErr w:type="spellStart"/>
      <w:r w:rsidRPr="00C81235">
        <w:rPr>
          <w:rFonts w:ascii="Times New Roman" w:eastAsia="Times New Roman" w:hAnsi="Times New Roman" w:cs="Times New Roman"/>
          <w:color w:val="000000" w:themeColor="text1"/>
          <w:sz w:val="28"/>
          <w:szCs w:val="28"/>
        </w:rPr>
        <w:t>потешки</w:t>
      </w:r>
      <w:proofErr w:type="spellEnd"/>
      <w:r w:rsidRPr="00C81235">
        <w:rPr>
          <w:rFonts w:ascii="Times New Roman" w:eastAsia="Times New Roman" w:hAnsi="Times New Roman" w:cs="Times New Roman"/>
          <w:color w:val="000000" w:themeColor="text1"/>
          <w:sz w:val="28"/>
          <w:szCs w:val="28"/>
        </w:rPr>
        <w:t xml:space="preserve"> и т.п.). </w:t>
      </w:r>
    </w:p>
    <w:p w:rsidR="00AB5E53" w:rsidRDefault="00C81235" w:rsidP="00B1470F">
      <w:pPr>
        <w:spacing w:after="288" w:line="240" w:lineRule="auto"/>
        <w:jc w:val="both"/>
      </w:pPr>
      <w:r w:rsidRPr="00C81235">
        <w:rPr>
          <w:rFonts w:ascii="Times New Roman" w:eastAsia="Times New Roman" w:hAnsi="Times New Roman" w:cs="Times New Roman"/>
          <w:color w:val="000000" w:themeColor="text1"/>
          <w:sz w:val="28"/>
          <w:szCs w:val="28"/>
        </w:rPr>
        <w:t> </w:t>
      </w:r>
    </w:p>
    <w:sectPr w:rsidR="00AB5E53" w:rsidSect="00B1470F">
      <w:pgSz w:w="11906" w:h="16838"/>
      <w:pgMar w:top="284"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E4A17"/>
    <w:multiLevelType w:val="multilevel"/>
    <w:tmpl w:val="474C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C81235"/>
    <w:rsid w:val="00AB5E53"/>
    <w:rsid w:val="00B1470F"/>
    <w:rsid w:val="00C81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12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235"/>
    <w:rPr>
      <w:rFonts w:ascii="Times New Roman" w:eastAsia="Times New Roman" w:hAnsi="Times New Roman" w:cs="Times New Roman"/>
      <w:b/>
      <w:bCs/>
      <w:kern w:val="36"/>
      <w:sz w:val="48"/>
      <w:szCs w:val="48"/>
    </w:rPr>
  </w:style>
  <w:style w:type="paragraph" w:customStyle="1" w:styleId="rtejustify">
    <w:name w:val="rtejustify"/>
    <w:basedOn w:val="a"/>
    <w:rsid w:val="00C8123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81235"/>
    <w:rPr>
      <w:b/>
      <w:bCs/>
    </w:rPr>
  </w:style>
</w:styles>
</file>

<file path=word/webSettings.xml><?xml version="1.0" encoding="utf-8"?>
<w:webSettings xmlns:r="http://schemas.openxmlformats.org/officeDocument/2006/relationships" xmlns:w="http://schemas.openxmlformats.org/wordprocessingml/2006/main">
  <w:divs>
    <w:div w:id="1213729930">
      <w:bodyDiv w:val="1"/>
      <w:marLeft w:val="0"/>
      <w:marRight w:val="0"/>
      <w:marTop w:val="0"/>
      <w:marBottom w:val="0"/>
      <w:divBdr>
        <w:top w:val="none" w:sz="0" w:space="0" w:color="auto"/>
        <w:left w:val="none" w:sz="0" w:space="0" w:color="auto"/>
        <w:bottom w:val="none" w:sz="0" w:space="0" w:color="auto"/>
        <w:right w:val="none" w:sz="0" w:space="0" w:color="auto"/>
      </w:divBdr>
      <w:divsChild>
        <w:div w:id="1199124085">
          <w:marLeft w:val="0"/>
          <w:marRight w:val="0"/>
          <w:marTop w:val="0"/>
          <w:marBottom w:val="0"/>
          <w:divBdr>
            <w:top w:val="none" w:sz="0" w:space="0" w:color="auto"/>
            <w:left w:val="none" w:sz="0" w:space="0" w:color="auto"/>
            <w:bottom w:val="none" w:sz="0" w:space="0" w:color="auto"/>
            <w:right w:val="none" w:sz="0" w:space="0" w:color="auto"/>
          </w:divBdr>
          <w:divsChild>
            <w:div w:id="1788507650">
              <w:marLeft w:val="0"/>
              <w:marRight w:val="0"/>
              <w:marTop w:val="0"/>
              <w:marBottom w:val="0"/>
              <w:divBdr>
                <w:top w:val="none" w:sz="0" w:space="0" w:color="auto"/>
                <w:left w:val="none" w:sz="0" w:space="0" w:color="auto"/>
                <w:bottom w:val="none" w:sz="0" w:space="0" w:color="auto"/>
                <w:right w:val="none" w:sz="0" w:space="0" w:color="auto"/>
              </w:divBdr>
              <w:divsChild>
                <w:div w:id="1380126664">
                  <w:marLeft w:val="0"/>
                  <w:marRight w:val="0"/>
                  <w:marTop w:val="192"/>
                  <w:marBottom w:val="0"/>
                  <w:divBdr>
                    <w:top w:val="none" w:sz="0" w:space="0" w:color="auto"/>
                    <w:left w:val="none" w:sz="0" w:space="0" w:color="auto"/>
                    <w:bottom w:val="none" w:sz="0" w:space="0" w:color="auto"/>
                    <w:right w:val="none" w:sz="0" w:space="0" w:color="auto"/>
                  </w:divBdr>
                  <w:divsChild>
                    <w:div w:id="895091591">
                      <w:marLeft w:val="0"/>
                      <w:marRight w:val="0"/>
                      <w:marTop w:val="0"/>
                      <w:marBottom w:val="0"/>
                      <w:divBdr>
                        <w:top w:val="none" w:sz="0" w:space="0" w:color="auto"/>
                        <w:left w:val="none" w:sz="0" w:space="0" w:color="auto"/>
                        <w:bottom w:val="none" w:sz="0" w:space="0" w:color="auto"/>
                        <w:right w:val="none" w:sz="0" w:space="0" w:color="auto"/>
                      </w:divBdr>
                      <w:divsChild>
                        <w:div w:id="2044090489">
                          <w:marLeft w:val="0"/>
                          <w:marRight w:val="0"/>
                          <w:marTop w:val="192"/>
                          <w:marBottom w:val="0"/>
                          <w:divBdr>
                            <w:top w:val="none" w:sz="0" w:space="0" w:color="auto"/>
                            <w:left w:val="none" w:sz="0" w:space="0" w:color="auto"/>
                            <w:bottom w:val="none" w:sz="0" w:space="0" w:color="auto"/>
                            <w:right w:val="none" w:sz="0" w:space="0" w:color="auto"/>
                          </w:divBdr>
                          <w:divsChild>
                            <w:div w:id="1480226934">
                              <w:marLeft w:val="0"/>
                              <w:marRight w:val="0"/>
                              <w:marTop w:val="0"/>
                              <w:marBottom w:val="0"/>
                              <w:divBdr>
                                <w:top w:val="none" w:sz="0" w:space="0" w:color="auto"/>
                                <w:left w:val="none" w:sz="0" w:space="0" w:color="auto"/>
                                <w:bottom w:val="none" w:sz="0" w:space="0" w:color="auto"/>
                                <w:right w:val="none" w:sz="0" w:space="0" w:color="auto"/>
                              </w:divBdr>
                              <w:divsChild>
                                <w:div w:id="410005993">
                                  <w:marLeft w:val="0"/>
                                  <w:marRight w:val="0"/>
                                  <w:marTop w:val="0"/>
                                  <w:marBottom w:val="0"/>
                                  <w:divBdr>
                                    <w:top w:val="none" w:sz="0" w:space="0" w:color="auto"/>
                                    <w:left w:val="none" w:sz="0" w:space="0" w:color="auto"/>
                                    <w:bottom w:val="none" w:sz="0" w:space="0" w:color="auto"/>
                                    <w:right w:val="none" w:sz="0" w:space="0" w:color="auto"/>
                                  </w:divBdr>
                                  <w:divsChild>
                                    <w:div w:id="1667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1026</Words>
  <Characters>5851</Characters>
  <Application>Microsoft Office Word</Application>
  <DocSecurity>0</DocSecurity>
  <Lines>48</Lines>
  <Paragraphs>13</Paragraphs>
  <ScaleCrop>false</ScaleCrop>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2019-11-03T03:16:00Z</dcterms:created>
  <dcterms:modified xsi:type="dcterms:W3CDTF">2019-11-03T03:22:00Z</dcterms:modified>
</cp:coreProperties>
</file>